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8B615">
      <w:pPr>
        <w:pStyle w:val="3"/>
        <w:snapToGrid w:val="0"/>
        <w:spacing w:after="312" w:afterLines="100"/>
        <w:ind w:firstLine="0" w:firstLineChars="0"/>
        <w:jc w:val="both"/>
        <w:rPr>
          <w:rFonts w:hint="eastAsia" w:ascii="宋体" w:hAnsi="宋体" w:eastAsia="宋体" w:cs="宋体"/>
          <w:b/>
          <w:bCs/>
          <w:kern w:val="0"/>
          <w:sz w:val="32"/>
          <w:szCs w:val="32"/>
          <w:lang w:bidi="ar"/>
        </w:rPr>
      </w:pPr>
      <w:bookmarkStart w:id="0" w:name="_GoBack"/>
      <w:r>
        <w:rPr>
          <w:rFonts w:hint="eastAsia" w:ascii="宋体" w:hAnsi="宋体" w:eastAsia="宋体" w:cs="宋体"/>
          <w:b/>
          <w:bCs/>
          <w:kern w:val="0"/>
          <w:sz w:val="32"/>
          <w:szCs w:val="32"/>
          <w:lang w:bidi="ar"/>
        </w:rPr>
        <w:t>附件1</w:t>
      </w:r>
    </w:p>
    <w:p w14:paraId="784E772C">
      <w:pPr>
        <w:pStyle w:val="6"/>
        <w:shd w:val="clear" w:color="auto" w:fill="FFFFFF"/>
        <w:spacing w:before="0" w:beforeLines="0" w:beforeAutospacing="0" w:after="0" w:afterLines="0" w:afterAutospacing="0" w:line="6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福建省职业技能线上培训平台征集要求</w:t>
      </w:r>
    </w:p>
    <w:bookmarkEnd w:id="0"/>
    <w:p w14:paraId="4F5B41FD">
      <w:pPr>
        <w:pStyle w:val="2"/>
        <w:widowControl/>
        <w:numPr>
          <w:ilvl w:val="0"/>
          <w:numId w:val="0"/>
        </w:numPr>
        <w:shd w:val="clear" w:color="auto" w:fill="FFFFFF"/>
        <w:spacing w:before="0" w:beforeLines="0" w:beforeAutospacing="0" w:after="0" w:afterLines="0" w:afterAutospacing="0" w:line="600" w:lineRule="exact"/>
        <w:ind w:firstLine="640" w:firstLineChars="200"/>
        <w:jc w:val="both"/>
        <w:rPr>
          <w:rFonts w:hint="eastAsia" w:ascii="仿宋_GB2312" w:hAnsi="仿宋_GB2312" w:eastAsia="仿宋_GB2312" w:cs="仿宋_GB2312"/>
          <w:kern w:val="2"/>
          <w:sz w:val="32"/>
          <w:szCs w:val="32"/>
          <w:lang w:eastAsia="zh-CN"/>
        </w:rPr>
      </w:pPr>
    </w:p>
    <w:p w14:paraId="6FC1303D">
      <w:pPr>
        <w:pStyle w:val="2"/>
        <w:widowControl/>
        <w:numPr>
          <w:ilvl w:val="0"/>
          <w:numId w:val="0"/>
        </w:numPr>
        <w:shd w:val="clear" w:color="auto" w:fill="FFFFFF"/>
        <w:spacing w:before="0" w:beforeLines="0" w:beforeAutospacing="0" w:after="0" w:afterLines="0" w:afterAutospacing="0" w:line="600" w:lineRule="exact"/>
        <w:ind w:firstLine="640" w:firstLineChars="2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eastAsia="zh-CN"/>
        </w:rPr>
        <w:t>一、</w:t>
      </w:r>
      <w:r>
        <w:rPr>
          <w:rFonts w:hint="eastAsia" w:ascii="黑体" w:hAnsi="黑体" w:eastAsia="黑体" w:cs="黑体"/>
          <w:color w:val="auto"/>
          <w:kern w:val="2"/>
          <w:sz w:val="32"/>
          <w:szCs w:val="32"/>
        </w:rPr>
        <w:t>运营机构要求</w:t>
      </w:r>
    </w:p>
    <w:p w14:paraId="6686427C">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（一）线上培训</w:t>
      </w:r>
      <w:r>
        <w:rPr>
          <w:rFonts w:hint="eastAsia" w:ascii="仿宋_GB2312" w:hAnsi="仿宋_GB2312" w:eastAsia="仿宋_GB2312" w:cs="仿宋_GB2312"/>
          <w:kern w:val="2"/>
          <w:sz w:val="32"/>
          <w:szCs w:val="32"/>
        </w:rPr>
        <w:t>平台运营机构须为在中国境内依法注册或者登记的企业、事业单位、社会团体、民办非企业单位等组织，且在福建省内设有稳定的服务机构。（提供机构的营业执照等合法证照复印）</w:t>
      </w:r>
    </w:p>
    <w:p w14:paraId="4250AE5C">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计算机软件著作权登记证明。（提供线上培训平台的计算机软件著作权登记证明复印件、证书查询网址及查询结果截图）</w:t>
      </w:r>
    </w:p>
    <w:p w14:paraId="577F3A85">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信息系统安全等级保护三级证明。（提供信息系统安全等级保护备案证明复印件、有效期内的测评报告）</w:t>
      </w:r>
    </w:p>
    <w:p w14:paraId="77FD1535">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ICP（互联网信息服务）业务经营许可证书。（提供ICP业务经营许可证书复印件，且主办单位与</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平台运营机构一致，证书上域名与申报</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平台域名一致）</w:t>
      </w:r>
    </w:p>
    <w:p w14:paraId="4B812001">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（五）</w:t>
      </w:r>
      <w:r>
        <w:rPr>
          <w:rFonts w:hint="eastAsia" w:ascii="仿宋_GB2312" w:hAnsi="仿宋_GB2312" w:eastAsia="仿宋_GB2312" w:cs="仿宋_GB2312"/>
          <w:kern w:val="2"/>
          <w:sz w:val="32"/>
          <w:szCs w:val="32"/>
        </w:rPr>
        <w:t>ICP（互联网信息服务）备案证明，且主办单位与</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平台运营机构一致。（提供ICP备案证明复印件，且主办单位与</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平台运营机构一致，备案网站域名与申报</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平台域名一致）</w:t>
      </w:r>
    </w:p>
    <w:p w14:paraId="32784F38">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（六）线上培训</w:t>
      </w:r>
      <w:r>
        <w:rPr>
          <w:rFonts w:hint="eastAsia" w:ascii="仿宋_GB2312" w:hAnsi="仿宋_GB2312" w:eastAsia="仿宋_GB2312" w:cs="仿宋_GB2312"/>
          <w:kern w:val="2"/>
          <w:sz w:val="32"/>
          <w:szCs w:val="32"/>
        </w:rPr>
        <w:t>平台正常稳定运营二年以上。（提供ICP备案证明复印件，且主办单位与</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平台运营机构一致，以ICP首次备案审核通过时间为准）</w:t>
      </w:r>
    </w:p>
    <w:p w14:paraId="79CF4B1C">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（七）线上培训</w:t>
      </w:r>
      <w:r>
        <w:rPr>
          <w:rFonts w:hint="eastAsia" w:ascii="仿宋_GB2312" w:hAnsi="仿宋_GB2312" w:eastAsia="仿宋_GB2312" w:cs="仿宋_GB2312"/>
          <w:kern w:val="2"/>
          <w:sz w:val="32"/>
          <w:szCs w:val="32"/>
        </w:rPr>
        <w:t>平台服务器设置在中国境内。（提供</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平台服务器设置在中国境内证明材料复印件）</w:t>
      </w:r>
    </w:p>
    <w:p w14:paraId="566AE5FC">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（八）线上培训</w:t>
      </w:r>
      <w:r>
        <w:rPr>
          <w:rFonts w:hint="eastAsia" w:ascii="仿宋_GB2312" w:hAnsi="仿宋_GB2312" w:eastAsia="仿宋_GB2312" w:cs="仿宋_GB2312"/>
          <w:kern w:val="2"/>
          <w:sz w:val="32"/>
          <w:szCs w:val="32"/>
        </w:rPr>
        <w:t>平台运营服务案例。（提供各级人社部门推荐或入围的相关证明）</w:t>
      </w:r>
    </w:p>
    <w:p w14:paraId="0D8DA216">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（九）线上培训</w:t>
      </w:r>
      <w:r>
        <w:rPr>
          <w:rFonts w:hint="eastAsia" w:ascii="仿宋_GB2312" w:hAnsi="仿宋_GB2312" w:eastAsia="仿宋_GB2312" w:cs="仿宋_GB2312"/>
          <w:kern w:val="2"/>
          <w:sz w:val="32"/>
          <w:szCs w:val="32"/>
        </w:rPr>
        <w:t>平台运营机构具有良好的社会信用，无违法、违纪、失信等不良行为记录。（提供“信用中国”www.creditchina.gov.cn下载的信用报告）</w:t>
      </w:r>
    </w:p>
    <w:p w14:paraId="18416145">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（十）线上培训</w:t>
      </w:r>
      <w:r>
        <w:rPr>
          <w:rFonts w:hint="eastAsia" w:ascii="仿宋_GB2312" w:hAnsi="仿宋_GB2312" w:eastAsia="仿宋_GB2312" w:cs="仿宋_GB2312"/>
          <w:kern w:val="2"/>
          <w:sz w:val="32"/>
          <w:szCs w:val="32"/>
        </w:rPr>
        <w:t>平台运营机构具有规范的财务制度和管理制度，承担对服务对象交易安全、隐私保护等合法权益的基础责任。（提供财务制度和管理制度，承担对服务对象交易安全、隐私保护等合法权益的基础责任保证承诺）</w:t>
      </w:r>
    </w:p>
    <w:p w14:paraId="12022C8A">
      <w:pPr>
        <w:pStyle w:val="2"/>
        <w:widowControl/>
        <w:numPr>
          <w:ilvl w:val="0"/>
          <w:numId w:val="0"/>
        </w:numPr>
        <w:shd w:val="clear" w:color="auto" w:fill="FFFFFF"/>
        <w:spacing w:before="0" w:beforeLines="0" w:beforeAutospacing="0" w:after="0" w:afterLines="0" w:afterAutospacing="0" w:line="60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lang w:eastAsia="zh-CN"/>
        </w:rPr>
        <w:t>二、线上培训</w:t>
      </w:r>
      <w:r>
        <w:rPr>
          <w:rFonts w:hint="eastAsia" w:ascii="黑体" w:hAnsi="黑体" w:eastAsia="黑体" w:cs="黑体"/>
          <w:kern w:val="2"/>
          <w:sz w:val="32"/>
          <w:szCs w:val="32"/>
        </w:rPr>
        <w:t>平台基本要求</w:t>
      </w:r>
    </w:p>
    <w:p w14:paraId="02A5CEEF">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（一）线上培训</w:t>
      </w:r>
      <w:r>
        <w:rPr>
          <w:rFonts w:hint="eastAsia" w:ascii="楷体_GB2312" w:hAnsi="楷体_GB2312" w:eastAsia="楷体_GB2312" w:cs="楷体_GB2312"/>
          <w:kern w:val="2"/>
          <w:sz w:val="32"/>
          <w:szCs w:val="32"/>
        </w:rPr>
        <w:t>平台对接</w:t>
      </w:r>
    </w:p>
    <w:p w14:paraId="4FAC0123">
      <w:pPr>
        <w:pStyle w:val="2"/>
        <w:widowControl/>
        <w:shd w:val="clear" w:color="auto" w:fill="FFFFFF"/>
        <w:spacing w:before="0" w:beforeLines="0" w:beforeAutospacing="0" w:after="0" w:afterLines="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须接入福建省补贴性职业培训管理平台，接受统一监管。（已对接福建省补贴性职业培训管理平台的运营机构提供对接测试报告，未对接福建省补贴性职业培训管理平台的运营机构提供承诺函，承诺征集结果公布日期起一个月内完成对接改造具备联调条件，在与管理平台联调通过并上线后方可开展培训，并在管理平台进行接口升级时，限期配合完成接口改造）</w:t>
      </w:r>
    </w:p>
    <w:p w14:paraId="220D04E4">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（二）线上培训</w:t>
      </w:r>
      <w:r>
        <w:rPr>
          <w:rFonts w:hint="eastAsia" w:ascii="楷体_GB2312" w:hAnsi="楷体_GB2312" w:eastAsia="楷体_GB2312" w:cs="楷体_GB2312"/>
          <w:kern w:val="2"/>
          <w:sz w:val="32"/>
          <w:szCs w:val="32"/>
        </w:rPr>
        <w:t>平台性能</w:t>
      </w:r>
    </w:p>
    <w:p w14:paraId="77E82ADB">
      <w:pPr>
        <w:pStyle w:val="2"/>
        <w:widowControl/>
        <w:shd w:val="clear" w:color="auto" w:fill="FFFFFF"/>
        <w:spacing w:before="0" w:beforeLines="0" w:beforeAutospacing="0" w:after="0" w:afterLines="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的服务器负载、网络带宽、并发数满足在线学习者人数及学习需求。可支持不低于100000人在线用户，并发数不低于1000，不能因在线学员访问量过多发生“系统性瘫痪”等情况。（需提供第三方检测机构出具的带有CMA或CNAS标识的检测报告复印件）</w:t>
      </w:r>
    </w:p>
    <w:p w14:paraId="6264D61E">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（三）</w:t>
      </w:r>
      <w:r>
        <w:rPr>
          <w:rFonts w:hint="eastAsia" w:ascii="楷体_GB2312" w:hAnsi="楷体_GB2312" w:eastAsia="楷体_GB2312" w:cs="楷体_GB2312"/>
          <w:kern w:val="2"/>
          <w:sz w:val="32"/>
          <w:szCs w:val="32"/>
        </w:rPr>
        <w:t>终端支持</w:t>
      </w:r>
    </w:p>
    <w:p w14:paraId="241FBBCB">
      <w:pPr>
        <w:pStyle w:val="2"/>
        <w:widowControl/>
        <w:shd w:val="clear" w:color="auto" w:fill="FFFFFF"/>
        <w:spacing w:before="0" w:beforeLines="0" w:beforeAutospacing="0" w:after="0" w:afterLines="0" w:afterAutospacing="0" w:line="600" w:lineRule="exact"/>
        <w:ind w:firstLine="566" w:firstLineChars="17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lang w:bidi="ar"/>
        </w:rPr>
        <w:t>平台支持电脑端、移动设备端。电脑端支持主流浏览器，对浏览器版本兼容性好；移动设备端支持主流操作系统，兼容性好。</w:t>
      </w:r>
    </w:p>
    <w:p w14:paraId="6B499B4E">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（四）</w:t>
      </w:r>
      <w:r>
        <w:rPr>
          <w:rFonts w:hint="eastAsia" w:ascii="楷体_GB2312" w:hAnsi="楷体_GB2312" w:eastAsia="楷体_GB2312" w:cs="楷体_GB2312"/>
          <w:kern w:val="2"/>
          <w:sz w:val="32"/>
          <w:szCs w:val="32"/>
        </w:rPr>
        <w:t>信息安全</w:t>
      </w:r>
    </w:p>
    <w:p w14:paraId="7CF03D34">
      <w:pPr>
        <w:pStyle w:val="2"/>
        <w:widowControl/>
        <w:shd w:val="clear" w:color="auto" w:fill="FFFFFF"/>
        <w:spacing w:before="0" w:beforeLines="0" w:beforeAutospacing="0" w:after="0" w:afterLines="0" w:afterAutospacing="0" w:line="600" w:lineRule="exact"/>
        <w:ind w:firstLine="566" w:firstLineChars="17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平台建立网络与信息安全保障机制，包括防火墙设置、防病毒软件安装、访问日志留存、</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平台数据多机备份、服务器密码管理、</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平台权限管理、个人身份信息数据加密及导出脱敏、信息系统安全运维等。</w:t>
      </w:r>
    </w:p>
    <w:p w14:paraId="563324C4">
      <w:pPr>
        <w:pStyle w:val="2"/>
        <w:widowControl/>
        <w:numPr>
          <w:ilvl w:val="0"/>
          <w:numId w:val="0"/>
        </w:numPr>
        <w:shd w:val="clear" w:color="auto" w:fill="FFFFFF"/>
        <w:spacing w:before="0" w:beforeLines="0" w:beforeAutospacing="0" w:after="0" w:afterLines="0" w:afterAutospacing="0" w:line="60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lang w:eastAsia="zh-CN"/>
        </w:rPr>
        <w:t>三、线上培训</w:t>
      </w:r>
      <w:r>
        <w:rPr>
          <w:rFonts w:hint="eastAsia" w:ascii="黑体" w:hAnsi="黑体" w:eastAsia="黑体" w:cs="黑体"/>
          <w:kern w:val="2"/>
          <w:sz w:val="32"/>
          <w:szCs w:val="32"/>
        </w:rPr>
        <w:t>平台功能要求</w:t>
      </w:r>
    </w:p>
    <w:p w14:paraId="1600126C">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（一）</w:t>
      </w:r>
      <w:r>
        <w:rPr>
          <w:rFonts w:hint="eastAsia" w:ascii="楷体_GB2312" w:hAnsi="楷体_GB2312" w:eastAsia="楷体_GB2312" w:cs="楷体_GB2312"/>
          <w:kern w:val="2"/>
          <w:sz w:val="32"/>
          <w:szCs w:val="32"/>
        </w:rPr>
        <w:t>用户核验</w:t>
      </w:r>
    </w:p>
    <w:p w14:paraId="14E9B45A">
      <w:pPr>
        <w:pStyle w:val="2"/>
        <w:widowControl/>
        <w:shd w:val="clear" w:color="auto" w:fill="FFFFFF"/>
        <w:spacing w:before="0" w:beforeLines="0" w:beforeAutospacing="0" w:after="0" w:afterLines="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平台能够与福建省补贴性职业培训管理平台对接，实现服务对象的实名认证及在学习过程中的身份核验。（已对接平台的运营机构提供测试报告，未对接平台的运营机构提供对接方案，并加盖公章）</w:t>
      </w:r>
    </w:p>
    <w:p w14:paraId="05D90D4F">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（二）</w:t>
      </w:r>
      <w:r>
        <w:rPr>
          <w:rFonts w:hint="eastAsia" w:ascii="楷体_GB2312" w:hAnsi="楷体_GB2312" w:eastAsia="楷体_GB2312" w:cs="楷体_GB2312"/>
          <w:kern w:val="2"/>
          <w:sz w:val="32"/>
          <w:szCs w:val="32"/>
        </w:rPr>
        <w:t>培训项目</w:t>
      </w:r>
    </w:p>
    <w:p w14:paraId="5D9DA391">
      <w:pPr>
        <w:pStyle w:val="2"/>
        <w:widowControl/>
        <w:shd w:val="clear" w:color="auto" w:fill="FFFFFF"/>
        <w:spacing w:before="0" w:beforeLines="0" w:beforeAutospacing="0" w:after="0" w:afterLines="0" w:afterAutospacing="0" w:line="600" w:lineRule="exact"/>
        <w:ind w:firstLine="566" w:firstLineChars="17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培训项目根据培训对象、国家职业分类等方式进行分类管理。培训项目发布支持根据相关标准规范中要求的知识点和技能点进行课程内容编排。相关标准规范包括国家职业标准、专项职业能力考核规范、企业岗位规范等。培训项目发布支持多种内容形式，包括但不限于视频、音频、图文、文档、自测、互动式课件、虚拟仿真等。</w:t>
      </w:r>
    </w:p>
    <w:p w14:paraId="74552B5D">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（三）</w:t>
      </w:r>
      <w:r>
        <w:rPr>
          <w:rFonts w:hint="eastAsia" w:ascii="楷体_GB2312" w:hAnsi="楷体_GB2312" w:eastAsia="楷体_GB2312" w:cs="楷体_GB2312"/>
          <w:kern w:val="2"/>
          <w:sz w:val="32"/>
          <w:szCs w:val="32"/>
        </w:rPr>
        <w:t>培训过程</w:t>
      </w:r>
    </w:p>
    <w:p w14:paraId="4DC697EA">
      <w:pPr>
        <w:pStyle w:val="2"/>
        <w:widowControl/>
        <w:shd w:val="clear" w:color="auto" w:fill="FFFFFF"/>
        <w:spacing w:before="0" w:beforeLines="0" w:beforeAutospacing="0" w:after="0" w:afterLines="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培训过程支持直播、录播、课件、在线研讨、互动交流等多种培训形式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培训过程支持学习者自主学习、模拟实操、测试、协作等多种培训组织形式。培训过程支持电子邮件、即时通信、电话等多种形式向学习者推送培训安排及答疑。</w:t>
      </w:r>
    </w:p>
    <w:p w14:paraId="2F31246C">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（四）</w:t>
      </w:r>
      <w:r>
        <w:rPr>
          <w:rFonts w:hint="eastAsia" w:ascii="楷体_GB2312" w:hAnsi="楷体_GB2312" w:eastAsia="楷体_GB2312" w:cs="楷体_GB2312"/>
          <w:kern w:val="2"/>
          <w:sz w:val="32"/>
          <w:szCs w:val="32"/>
        </w:rPr>
        <w:t>质量与安全管理</w:t>
      </w:r>
    </w:p>
    <w:p w14:paraId="2ACD50EC">
      <w:pPr>
        <w:pStyle w:val="2"/>
        <w:widowControl/>
        <w:shd w:val="clear" w:color="auto" w:fill="FFFFFF"/>
        <w:spacing w:before="0" w:beforeLines="0" w:beforeAutospacing="0" w:after="0" w:afterLines="0" w:afterAutospacing="0" w:line="600" w:lineRule="exact"/>
        <w:ind w:firstLine="566" w:firstLineChars="17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平台具有禁止同一账号同时多端口登录、禁止多页面非前台播放课程等质量管控功能，防止刷课、挂课、替课等弄虚作假行为，确保培训过程真实、有效。</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平台支持培训机构、企业用人单位对培训班级、学习者的考勤、学习、测试等数据进行记录、查询、统计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分析，支持对培训项目数字资源的使用情况等进行统计分析。</w:t>
      </w:r>
    </w:p>
    <w:p w14:paraId="62380080">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（五）</w:t>
      </w:r>
      <w:r>
        <w:rPr>
          <w:rFonts w:hint="eastAsia" w:ascii="楷体_GB2312" w:hAnsi="楷体_GB2312" w:eastAsia="楷体_GB2312" w:cs="楷体_GB2312"/>
          <w:kern w:val="2"/>
          <w:sz w:val="32"/>
          <w:szCs w:val="32"/>
        </w:rPr>
        <w:t>学习功能</w:t>
      </w:r>
    </w:p>
    <w:p w14:paraId="1C0342BB">
      <w:pPr>
        <w:pStyle w:val="2"/>
        <w:widowControl/>
        <w:shd w:val="clear" w:color="auto" w:fill="FFFFFF"/>
        <w:spacing w:before="0" w:beforeLines="0" w:beforeAutospacing="0" w:after="0" w:afterLines="0" w:afterAutospacing="0" w:line="600" w:lineRule="exact"/>
        <w:ind w:firstLine="566" w:firstLineChars="17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平台支持对学习者学习过程进行记录，包括但不限于学习开始时间、学习时长、练习和考试。</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平台支持按课程和学习者分别统计累计学习时长、每日学习时长、平均学习时长、指定时间段内学习时长、按每日/周/月统计学习时长变化等。</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平台支持统计学习者参加课程总数量、完成课程数量、未完成课程数量等。</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平台支持学习者对课程进行评价，并记录评价数据。</w:t>
      </w:r>
    </w:p>
    <w:p w14:paraId="2D1B707B">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（六）</w:t>
      </w:r>
      <w:r>
        <w:rPr>
          <w:rFonts w:hint="eastAsia" w:ascii="楷体_GB2312" w:hAnsi="楷体_GB2312" w:eastAsia="楷体_GB2312" w:cs="楷体_GB2312"/>
          <w:kern w:val="2"/>
          <w:sz w:val="32"/>
          <w:szCs w:val="32"/>
        </w:rPr>
        <w:t>学习支持</w:t>
      </w:r>
    </w:p>
    <w:p w14:paraId="50740A4E">
      <w:pPr>
        <w:pStyle w:val="2"/>
        <w:widowControl/>
        <w:shd w:val="clear" w:color="auto" w:fill="FFFFFF"/>
        <w:spacing w:before="0" w:beforeLines="0" w:beforeAutospacing="0" w:after="0" w:afterLines="0" w:afterAutospacing="0" w:line="600" w:lineRule="exact"/>
        <w:ind w:firstLine="566" w:firstLineChars="17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平台支持学习者查看学习进度和记录，包括已完成课程、未完成课程的进度记录、考试成绩、监管成效等信息。</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平台为学习者提供平台使用说明，指导学习者使用学习平台，及时解决学习活动与服务过程中的问题。</w:t>
      </w:r>
    </w:p>
    <w:p w14:paraId="4FFFB284">
      <w:pPr>
        <w:pStyle w:val="2"/>
        <w:widowControl/>
        <w:numPr>
          <w:ilvl w:val="0"/>
          <w:numId w:val="0"/>
        </w:numPr>
        <w:shd w:val="clear" w:color="auto" w:fill="FFFFFF"/>
        <w:spacing w:before="0" w:beforeLines="0" w:beforeAutospacing="0" w:after="0" w:afterLines="0" w:afterAutospacing="0" w:line="60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运营管理</w:t>
      </w:r>
    </w:p>
    <w:p w14:paraId="23E2EF19">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（一）</w:t>
      </w:r>
      <w:r>
        <w:rPr>
          <w:rFonts w:hint="eastAsia" w:ascii="楷体_GB2312" w:hAnsi="楷体_GB2312" w:eastAsia="楷体_GB2312" w:cs="楷体_GB2312"/>
          <w:kern w:val="2"/>
          <w:sz w:val="32"/>
          <w:szCs w:val="32"/>
        </w:rPr>
        <w:t>运维服务</w:t>
      </w:r>
    </w:p>
    <w:p w14:paraId="6B76E124">
      <w:pPr>
        <w:pStyle w:val="2"/>
        <w:widowControl/>
        <w:shd w:val="clear" w:color="auto" w:fill="FFFFFF"/>
        <w:spacing w:before="0" w:beforeLines="0" w:beforeAutospacing="0" w:after="0" w:afterLines="0" w:afterAutospacing="0" w:line="600" w:lineRule="exact"/>
        <w:ind w:firstLine="566" w:firstLineChars="17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运营机构须提供本地化运维服务，在福建省内配备数量充足、结构合理的运维团队（提供人员名单及本地化相关证明材料，如近期社保缴纳记录等），成员具备专业知识和技能（提供相关证明材料，如网络安全、系统运维等相关技术证书）。运维服务团队应能及时发现和解决</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平台系统运行问题，降低故障发生的概率，确保业务的连续性。</w:t>
      </w:r>
    </w:p>
    <w:p w14:paraId="657B7751">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（二）</w:t>
      </w:r>
      <w:r>
        <w:rPr>
          <w:rFonts w:hint="eastAsia" w:ascii="楷体_GB2312" w:hAnsi="楷体_GB2312" w:eastAsia="楷体_GB2312" w:cs="楷体_GB2312"/>
          <w:kern w:val="2"/>
          <w:sz w:val="32"/>
          <w:szCs w:val="32"/>
        </w:rPr>
        <w:t>客户服务</w:t>
      </w:r>
    </w:p>
    <w:p w14:paraId="4974FF0E">
      <w:pPr>
        <w:pStyle w:val="2"/>
        <w:widowControl/>
        <w:shd w:val="clear" w:color="auto" w:fill="FFFFFF"/>
        <w:spacing w:before="0" w:beforeLines="0" w:beforeAutospacing="0" w:after="0" w:afterLines="0" w:afterAutospacing="0" w:line="600" w:lineRule="exact"/>
        <w:ind w:firstLine="566" w:firstLineChars="17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运营机构须提供本地化客户服务，在福建省内配备数量充足、结构合理的本地化客服团队。（提供人员名单及本地化相关证明材料，如近期社保缴纳记录等），成员具备专业知识和技能（提供相关证明材料，如普通话水平测试等级证书等）。</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平台提供电话、网络等服务渠道，及时处理客户反馈问题，建立沟通管理机制，明确反馈时限，按时答复、安排处理服务对象诉求。</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平台具有常见问题清单、投诉反馈的渠道、问题处理流程及操作记录。</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平台建立平台服务评价管理机制，常态化接受服务评价，评价形式包括学习者评价、企业评价、培训机构评价和自我评价等。</w:t>
      </w:r>
    </w:p>
    <w:p w14:paraId="4DF5A9E7">
      <w:pPr>
        <w:pStyle w:val="2"/>
        <w:widowControl/>
        <w:numPr>
          <w:ilvl w:val="0"/>
          <w:numId w:val="0"/>
        </w:numPr>
        <w:shd w:val="clear" w:color="auto" w:fill="FFFFFF"/>
        <w:spacing w:before="0" w:beforeLines="0" w:beforeAutospacing="0" w:after="0" w:afterLines="0" w:afterAutospacing="0" w:line="600" w:lineRule="exact"/>
        <w:ind w:left="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（三）线上培训</w:t>
      </w:r>
      <w:r>
        <w:rPr>
          <w:rFonts w:hint="eastAsia" w:ascii="楷体_GB2312" w:hAnsi="楷体_GB2312" w:eastAsia="楷体_GB2312" w:cs="楷体_GB2312"/>
          <w:kern w:val="2"/>
          <w:sz w:val="32"/>
          <w:szCs w:val="32"/>
        </w:rPr>
        <w:t>平台管理</w:t>
      </w:r>
    </w:p>
    <w:p w14:paraId="3FB5FA6E">
      <w:pPr>
        <w:pStyle w:val="2"/>
        <w:widowControl/>
        <w:shd w:val="clear" w:color="auto" w:fill="FFFFFF"/>
        <w:spacing w:before="0" w:beforeLines="0" w:beforeAutospacing="0" w:after="0" w:afterLines="0" w:afterAutospacing="0" w:line="600" w:lineRule="exact"/>
        <w:ind w:firstLine="566" w:firstLineChars="17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平台运营机构内设部门组织结构科学、职责明确、人员配置合理，有完善可行的员工管理制度。</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w:t>
      </w:r>
      <w:r>
        <w:rPr>
          <w:rFonts w:hint="eastAsia" w:ascii="仿宋_GB2312" w:hAnsi="仿宋_GB2312" w:eastAsia="仿宋_GB2312" w:cs="仿宋_GB2312"/>
          <w:kern w:val="2"/>
          <w:sz w:val="32"/>
          <w:szCs w:val="32"/>
          <w:lang w:eastAsia="zh-CN"/>
        </w:rPr>
        <w:t>台</w:t>
      </w:r>
      <w:r>
        <w:rPr>
          <w:rFonts w:hint="eastAsia" w:ascii="仿宋_GB2312" w:hAnsi="仿宋_GB2312" w:eastAsia="仿宋_GB2312" w:cs="仿宋_GB2312"/>
          <w:kern w:val="2"/>
          <w:sz w:val="32"/>
          <w:szCs w:val="32"/>
        </w:rPr>
        <w:t>运营机构须建立平台服务监督机制，内容包括但不限于服务内容、服务依据、服务流程、服务要求、投诉渠道。实施内部监督和审核，同时接受外部监督，设置监督意见反馈表等，根据监督和审核结果，实施纠正和预防措施</w:t>
      </w:r>
      <w:r>
        <w:rPr>
          <w:rFonts w:hint="eastAsia" w:ascii="仿宋_GB2312" w:hAnsi="仿宋_GB2312" w:eastAsia="仿宋_GB2312" w:cs="仿宋_GB2312"/>
          <w:kern w:val="2"/>
          <w:sz w:val="32"/>
          <w:szCs w:val="32"/>
          <w:lang w:eastAsia="zh-CN"/>
        </w:rPr>
        <w:t>。线上培训</w:t>
      </w:r>
      <w:r>
        <w:rPr>
          <w:rFonts w:hint="eastAsia" w:ascii="仿宋_GB2312" w:hAnsi="仿宋_GB2312" w:eastAsia="仿宋_GB2312" w:cs="仿宋_GB2312"/>
          <w:kern w:val="2"/>
          <w:sz w:val="32"/>
          <w:szCs w:val="32"/>
        </w:rPr>
        <w:t>平台运营机构根据服务评价制定整改措施，进行优化和改进；注重服务对象的满意度和服务效能的提升。</w:t>
      </w:r>
    </w:p>
    <w:p w14:paraId="097957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76EEA"/>
    <w:rsid w:val="3F376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3">
    <w:name w:val="Title"/>
    <w:basedOn w:val="1"/>
    <w:next w:val="1"/>
    <w:uiPriority w:val="0"/>
    <w:pPr>
      <w:ind w:firstLine="200" w:firstLineChars="200"/>
      <w:jc w:val="center"/>
      <w:outlineLvl w:val="0"/>
    </w:pPr>
    <w:rPr>
      <w:rFonts w:ascii="Cambria" w:hAnsi="Cambria" w:eastAsia="宋体" w:cs="Times New Roman"/>
      <w:bCs/>
      <w:sz w:val="44"/>
      <w:szCs w:val="32"/>
    </w:rPr>
  </w:style>
  <w:style w:type="paragraph" w:customStyle="1" w:styleId="6">
    <w:name w:val="b-free-read-leaf"/>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2024-12-18T03:38:00Z</dcterms:created>
  <dc:creator>彩虹</dc:creator>
  <cp:lastModifiedBy>彩虹</cp:lastModifiedBy>
  <dcterms:modified xsi:type="dcterms:W3CDTF">2024-12-18T03:40:08Z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332FE62561674C1EBA6F5F14C3A1E995_11</vt:lpwstr>
  </property>
</Properties>
</file>