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BC287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6496DD1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评选活动具体时间、方式和注意事项</w:t>
      </w:r>
    </w:p>
    <w:bookmarkEnd w:id="0"/>
    <w:p w14:paraId="5B1DD5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一、报到时间</w:t>
      </w:r>
    </w:p>
    <w:p w14:paraId="04C3A2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报到时间：线下选手12月19日16:00前报到。</w:t>
      </w:r>
    </w:p>
    <w:p w14:paraId="22DD62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评选时间：12月20日全天。</w:t>
      </w:r>
    </w:p>
    <w:p w14:paraId="747549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评选场馆：具体见评选手册（线下选手报到时发放手册。）</w:t>
      </w:r>
    </w:p>
    <w:p w14:paraId="5C61339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评选方式</w:t>
      </w:r>
    </w:p>
    <w:p w14:paraId="1C6012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评选活动采用专家现场评审、选手线下“路演+答辩”的方式进行。</w:t>
      </w:r>
    </w:p>
    <w:p w14:paraId="40945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1、评选当天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上午各评选小组对提交的方案进行</w:t>
      </w:r>
      <w:r>
        <w:rPr>
          <w:rFonts w:hint="eastAsia" w:ascii="仿宋_GB2312" w:hAnsi="Times New Roman" w:cs="Times New Roman"/>
          <w:b/>
          <w:bCs/>
          <w:sz w:val="32"/>
          <w:szCs w:val="32"/>
          <w:lang w:val="en-US" w:eastAsia="zh-CN"/>
        </w:rPr>
        <w:t>路演项目初选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，每小组选出前2名，共计10个优秀方案进入决赛环节。下午10个优秀方案将现场进行</w:t>
      </w:r>
      <w:r>
        <w:rPr>
          <w:rFonts w:hint="eastAsia" w:ascii="仿宋_GB2312" w:hAnsi="Times New Roman" w:cs="Times New Roman"/>
          <w:b/>
          <w:bCs/>
          <w:sz w:val="32"/>
          <w:szCs w:val="32"/>
          <w:lang w:val="en-US" w:eastAsia="zh-CN"/>
        </w:rPr>
        <w:t>路演项目决赛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以角逐出金奖、银奖及铜奖。</w:t>
      </w:r>
    </w:p>
    <w:p w14:paraId="37266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每位选</w:t>
      </w:r>
      <w:r>
        <w:rPr>
          <w:rFonts w:hint="eastAsia" w:ascii="仿宋_GB2312" w:hAnsi="仿宋_GB2312" w:eastAsia="仿宋_GB2312" w:cs="仿宋_GB2312"/>
          <w:color w:val="auto"/>
          <w:sz w:val="32"/>
          <w:lang w:val="zh-CN" w:eastAsia="zh-CN"/>
        </w:rPr>
        <w:t>手路演答辩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总时长为11分钟，其中7</w:t>
      </w:r>
      <w:r>
        <w:rPr>
          <w:rFonts w:hint="eastAsia" w:ascii="仿宋_GB2312" w:hAnsi="仿宋_GB2312" w:eastAsia="仿宋_GB2312" w:cs="仿宋_GB2312"/>
          <w:color w:val="auto"/>
          <w:sz w:val="32"/>
          <w:lang w:val="zh-CN" w:eastAsia="zh-CN"/>
        </w:rPr>
        <w:t>分钟为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路演选手</w:t>
      </w:r>
      <w:r>
        <w:rPr>
          <w:rFonts w:hint="eastAsia" w:ascii="仿宋_GB2312" w:hAnsi="仿宋_GB2312" w:eastAsia="仿宋_GB2312" w:cs="仿宋_GB2312"/>
          <w:color w:val="auto"/>
          <w:sz w:val="32"/>
          <w:lang w:val="zh-CN" w:eastAsia="zh-CN"/>
        </w:rPr>
        <w:t>陈述时间，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lang w:val="zh-CN" w:eastAsia="zh-CN"/>
        </w:rPr>
        <w:t>分钟为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专家提问选手</w:t>
      </w:r>
      <w:r>
        <w:rPr>
          <w:rFonts w:hint="eastAsia" w:ascii="仿宋_GB2312" w:hAnsi="仿宋_GB2312" w:eastAsia="仿宋_GB2312" w:cs="仿宋_GB2312"/>
          <w:color w:val="auto"/>
          <w:sz w:val="32"/>
          <w:lang w:val="zh-CN" w:eastAsia="zh-CN"/>
        </w:rPr>
        <w:t>答辩时间。路演答辩实行倒计时制度，时间终止路演答辩结束。</w:t>
      </w:r>
    </w:p>
    <w:p w14:paraId="4868A0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3、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参评项目的路演PPT需为PPT/PPTX/PDF文件，大小不超过50MB，宽屏16:9，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路演时间控制在7分钟以内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请扫描以下二维码，获取项目PPT模板。</w:t>
      </w:r>
    </w:p>
    <w:tbl>
      <w:tblPr>
        <w:tblStyle w:val="5"/>
        <w:tblW w:w="8458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8"/>
      </w:tblGrid>
      <w:tr w14:paraId="137B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8458" w:type="dxa"/>
            <w:vAlign w:val="center"/>
          </w:tcPr>
          <w:p w14:paraId="7AA66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2100580</wp:posOffset>
                  </wp:positionH>
                  <wp:positionV relativeFrom="paragraph">
                    <wp:posOffset>69215</wp:posOffset>
                  </wp:positionV>
                  <wp:extent cx="1040130" cy="1040130"/>
                  <wp:effectExtent l="0" t="0" r="11430" b="11430"/>
                  <wp:wrapTight wrapText="bothSides">
                    <wp:wrapPolygon>
                      <wp:start x="0" y="0"/>
                      <wp:lineTo x="0" y="21204"/>
                      <wp:lineTo x="21204" y="21204"/>
                      <wp:lineTo x="21204" y="0"/>
                      <wp:lineTo x="0" y="0"/>
                    </wp:wrapPolygon>
                  </wp:wrapTight>
                  <wp:docPr id="2" name="图片 2" descr="4083066bf3ee8c825e791ee125295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083066bf3ee8c825e791ee1252952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8B4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专家按照福建省第一届博士后揭榜领题活动优秀方案评选评分标准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附件3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，根据选手路演及答辩情况，科学评判，现场独立赋分。</w:t>
      </w:r>
    </w:p>
    <w:p w14:paraId="35A727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"/>
        </w:rPr>
        <w:t>评选路演及答辩全程录像，选手得分现场统分、复核及专家签字确认。</w:t>
      </w:r>
    </w:p>
    <w:p w14:paraId="101FE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注意事项</w:t>
      </w:r>
    </w:p>
    <w:p w14:paraId="2E00B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 HYPERLINK "mailto:针对2022年11月15日之前在\“全国博士后接榜领题交流对接平台\”（www.chinapostdoctor.org.cn）上提交的技术攻关揭榜方案以及成果转换发榜方案，采取自愿报名的方式，致电组委会咨询报名，也可直接将报名表（见附件）及参与评优方案发送至大赛报名邮箱。（bshjblt@163.com）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参加评选的选手须在“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第一届全省博士后揭榜领题活动平台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”上提交技术攻关需求揭榜方案或博士后科研成果转化发榜项目。</w:t>
      </w:r>
    </w:p>
    <w:p w14:paraId="39E1C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参加评选填写报名表，于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16日12:00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前扫描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下方二维码填写报名信息，并于报到当天现场提交纸质报名表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tbl>
      <w:tblPr>
        <w:tblStyle w:val="5"/>
        <w:tblW w:w="8458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8"/>
      </w:tblGrid>
      <w:tr w14:paraId="648D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8458" w:type="dxa"/>
            <w:vAlign w:val="center"/>
          </w:tcPr>
          <w:p w14:paraId="52309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cs="宋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14605</wp:posOffset>
                  </wp:positionV>
                  <wp:extent cx="1031240" cy="1081405"/>
                  <wp:effectExtent l="0" t="0" r="5080" b="635"/>
                  <wp:wrapTight wrapText="bothSides">
                    <wp:wrapPolygon>
                      <wp:start x="0" y="0"/>
                      <wp:lineTo x="0" y="21308"/>
                      <wp:lineTo x="21387" y="21308"/>
                      <wp:lineTo x="21387" y="0"/>
                      <wp:lineTo x="0" y="0"/>
                    </wp:wrapPolygon>
                  </wp:wrapTight>
                  <wp:docPr id="4" name="图片 4" descr="ed3ca1fdab1f346590c70d9da434e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d3ca1fdab1f346590c70d9da434e2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727" t="6754" r="10520" b="85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859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 HYPERLINK "mailto:参加评优的选手须根据在\“全国博士后接榜领题交流对接平台\”（www.chinapostdoctor.org.cn）上提交的技术攻关揭榜方案或成果转化发榜项目撰写路演PPT，于11月15日之前将PPT发送至评选活动邮箱（bshjblt@163.com），逾期不受理；评选活动执行机构对路演PPT内容初步审核。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参加评选的选手须根据“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第一届全省博士后揭榜领题活动平台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”上提交的技术攻关需求揭榜方案或科研成果转化发榜项目撰写路演PPT，按照本通知要求的格式于1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月1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报道现场拷贝PPT。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 w14:paraId="6BF4DF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评选前2天，组织选手通过抽签小程序进行评选顺序抽签，按抽签序号决定路演顺序。</w:t>
      </w:r>
    </w:p>
    <w:p w14:paraId="09001E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参评选手凭本人有效身份证报到，如缺席评选，视为自动放弃参评及获奖资格。</w:t>
      </w:r>
    </w:p>
    <w:p w14:paraId="42881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本次评选活动不收取任何费用，评选期间食宿由举办方统一安排，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不需承担食宿费用，往返交通费自理。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线下路演的博士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博士后团队最多可派2人参加现场路演，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多于限定名额的随行人员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人员提前到达或延迟撤离的情况，食宿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、往返交通等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费用自理。</w:t>
      </w:r>
    </w:p>
    <w:p w14:paraId="478CC0DD">
      <w:pPr>
        <w:pStyle w:val="3"/>
        <w:rPr>
          <w:rFonts w:hint="eastAsia"/>
          <w:lang w:val="en-US" w:eastAsia="zh-CN"/>
        </w:rPr>
      </w:pPr>
    </w:p>
    <w:p w14:paraId="1ED1C748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br w:type="page"/>
      </w:r>
    </w:p>
    <w:p w14:paraId="2996BA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E61437-D883-4857-BA01-8066905121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91BF17-4807-4995-8212-AD633C79E0F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2349A09-CF75-4E34-AD80-A9B78F4E9E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26D85E0-8173-4A08-94A2-CE2CFA602C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08E2E0"/>
    <w:multiLevelType w:val="singleLevel"/>
    <w:tmpl w:val="FE08E2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7046C"/>
    <w:rsid w:val="15A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ind w:firstLine="800" w:firstLineChars="200"/>
    </w:pPr>
    <w:rPr>
      <w:rFonts w:ascii="宋体" w:hAnsi="宋体" w:cs="Times New Roman"/>
      <w:szCs w:val="32"/>
    </w:rPr>
  </w:style>
  <w:style w:type="paragraph" w:styleId="3">
    <w:name w:val="Balloon Text"/>
    <w:basedOn w:val="1"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彩虹</dc:creator>
  <cp:lastModifiedBy>彩虹</cp:lastModifiedBy>
  <dcterms:modified xsi:type="dcterms:W3CDTF">2024-12-12T03:12:12Z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F50CE5B0B19A4EA0BD1FF899BC7927FB_11</vt:lpwstr>
  </property>
</Properties>
</file>