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11DC4">
      <w:pPr>
        <w:keepNext/>
        <w:keepLines/>
        <w:widowControl w:val="0"/>
        <w:tabs>
          <w:tab w:val="left" w:pos="600"/>
        </w:tabs>
        <w:spacing w:before="0" w:beforeLines="0" w:after="0" w:afterLines="0" w:line="240" w:lineRule="auto"/>
        <w:ind w:firstLine="0"/>
        <w:jc w:val="left"/>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附件1</w:t>
      </w:r>
    </w:p>
    <w:p w14:paraId="2E7184DA">
      <w:pPr>
        <w:widowControl w:val="0"/>
        <w:tabs>
          <w:tab w:val="left" w:pos="600"/>
        </w:tabs>
        <w:spacing w:before="0" w:beforeLines="0" w:afterLines="0" w:line="240" w:lineRule="auto"/>
        <w:ind w:firstLine="0"/>
        <w:jc w:val="center"/>
        <w:rPr>
          <w:rFonts w:hint="eastAsia" w:ascii="Times New Roman" w:hAnsi="Times New Roman" w:eastAsia="仿宋_GB2312" w:cs="Times New Roman"/>
          <w:b/>
          <w:kern w:val="2"/>
          <w:sz w:val="28"/>
          <w:szCs w:val="32"/>
          <w:lang w:val="en-US" w:eastAsia="zh-CN" w:bidi="ar-SA"/>
        </w:rPr>
      </w:pPr>
      <w:r>
        <w:rPr>
          <w:rFonts w:hint="eastAsia" w:ascii="方正黑体_GBK" w:hAnsi="方正黑体_GBK" w:eastAsia="方正黑体_GBK" w:cs="方正黑体_GBK"/>
          <w:b w:val="0"/>
          <w:bCs/>
          <w:kern w:val="2"/>
          <w:sz w:val="36"/>
          <w:szCs w:val="36"/>
          <w:lang w:val="en-US" w:eastAsia="zh-CN" w:bidi="ar-SA"/>
        </w:rPr>
        <w:t>综合评分明细表</w:t>
      </w:r>
    </w:p>
    <w:p w14:paraId="054DC308">
      <w:pPr>
        <w:spacing w:beforeLines="0" w:afterLines="0"/>
        <w:rPr>
          <w:rFonts w:hint="eastAsia" w:ascii="仿宋_GB2312" w:hAnsi="Times New Roman" w:eastAsia="仿宋_GB2312" w:cs="Times New Roman"/>
          <w:b/>
          <w:sz w:val="30"/>
          <w:szCs w:val="30"/>
        </w:rPr>
      </w:pPr>
    </w:p>
    <w:tbl>
      <w:tblPr>
        <w:tblStyle w:val="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2"/>
        <w:gridCol w:w="1392"/>
        <w:gridCol w:w="955"/>
        <w:gridCol w:w="3645"/>
        <w:gridCol w:w="1872"/>
      </w:tblGrid>
      <w:tr w14:paraId="08323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35480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892C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评分指标</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14:paraId="79AF4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3899" w:type="dxa"/>
            <w:tcBorders>
              <w:top w:val="single" w:color="000000" w:sz="4" w:space="0"/>
              <w:left w:val="single" w:color="000000" w:sz="4" w:space="0"/>
              <w:bottom w:val="single" w:color="000000" w:sz="4" w:space="0"/>
              <w:right w:val="single" w:color="000000" w:sz="4" w:space="0"/>
            </w:tcBorders>
            <w:noWrap w:val="0"/>
            <w:vAlign w:val="center"/>
          </w:tcPr>
          <w:p w14:paraId="71EB5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评分标准</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14:paraId="134FE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C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1CEBC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43FD24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14:paraId="005BF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15分</w:t>
            </w:r>
          </w:p>
        </w:tc>
        <w:tc>
          <w:tcPr>
            <w:tcW w:w="3899" w:type="dxa"/>
            <w:tcBorders>
              <w:top w:val="single" w:color="000000" w:sz="4" w:space="0"/>
              <w:left w:val="single" w:color="000000" w:sz="4" w:space="0"/>
              <w:bottom w:val="single" w:color="000000" w:sz="4" w:space="0"/>
              <w:right w:val="single" w:color="000000" w:sz="4" w:space="0"/>
            </w:tcBorders>
            <w:noWrap w:val="0"/>
            <w:vAlign w:val="center"/>
          </w:tcPr>
          <w:p w14:paraId="72B107D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以最低报价为基准价，得分=(基准价／报价)*15。</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14:paraId="4599CE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中小企业享受10%报价扣除</w:t>
            </w:r>
          </w:p>
        </w:tc>
      </w:tr>
      <w:tr w14:paraId="6852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73381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7EA03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服务方案</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14:paraId="771FE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35分</w:t>
            </w:r>
          </w:p>
        </w:tc>
        <w:tc>
          <w:tcPr>
            <w:tcW w:w="3899" w:type="dxa"/>
            <w:tcBorders>
              <w:top w:val="single" w:color="000000" w:sz="4" w:space="0"/>
              <w:left w:val="single" w:color="000000" w:sz="4" w:space="0"/>
              <w:bottom w:val="nil"/>
              <w:right w:val="single" w:color="000000" w:sz="4" w:space="0"/>
            </w:tcBorders>
            <w:noWrap w:val="0"/>
            <w:vAlign w:val="center"/>
          </w:tcPr>
          <w:p w14:paraId="045EE16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投标人提供的项目实施方案进行综合评审，服务方案一般应包括：场地布展方案、宣传发动方案、后勤保障方案、活动应急预案等，具备完整性、科学性、合理性及服务的便捷性。方案包含的要点齐全无缺漏项、内容与要点相符、每个要点均有展开详细的阐述且能够适用于本项目得31-35分；方案所包含的要点齐全、内容与要点相符、每个要点均有展开阐述（没有特别具体）基本能够适用于本项目的得25-30分；方案所包含的要点有缺漏、内容与要点相符但仅有纲要、内容简略，未展开详细阐述但基本能够适用于本项目的得15-24分；未提供方案的不得分。</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14:paraId="2E9ED226">
            <w:pPr>
              <w:jc w:val="both"/>
              <w:rPr>
                <w:rFonts w:hint="eastAsia" w:ascii="宋体" w:hAnsi="宋体" w:eastAsia="宋体" w:cs="宋体"/>
                <w:i w:val="0"/>
                <w:iCs w:val="0"/>
                <w:color w:val="000000"/>
                <w:sz w:val="24"/>
                <w:szCs w:val="24"/>
                <w:u w:val="none"/>
              </w:rPr>
            </w:pPr>
          </w:p>
        </w:tc>
      </w:tr>
      <w:tr w14:paraId="0B7E6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6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BE4E0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center"/>
          </w:tcPr>
          <w:p w14:paraId="0B141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履约能力</w:t>
            </w:r>
          </w:p>
        </w:tc>
        <w:tc>
          <w:tcPr>
            <w:tcW w:w="1022" w:type="dxa"/>
            <w:vMerge w:val="restart"/>
            <w:tcBorders>
              <w:top w:val="single" w:color="000000" w:sz="4" w:space="0"/>
              <w:left w:val="single" w:color="000000" w:sz="4" w:space="0"/>
              <w:bottom w:val="single" w:color="000000" w:sz="4" w:space="0"/>
              <w:right w:val="nil"/>
            </w:tcBorders>
            <w:noWrap w:val="0"/>
            <w:vAlign w:val="center"/>
          </w:tcPr>
          <w:p w14:paraId="0F43F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50分</w:t>
            </w:r>
          </w:p>
        </w:tc>
        <w:tc>
          <w:tcPr>
            <w:tcW w:w="3899" w:type="dxa"/>
            <w:tcBorders>
              <w:top w:val="single" w:color="000000" w:sz="4" w:space="0"/>
              <w:left w:val="single" w:color="000000" w:sz="4" w:space="0"/>
              <w:bottom w:val="nil"/>
              <w:right w:val="single" w:color="000000" w:sz="4" w:space="0"/>
            </w:tcBorders>
            <w:noWrap w:val="0"/>
            <w:vAlign w:val="center"/>
          </w:tcPr>
          <w:p w14:paraId="6D3E207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根据投标人自2024年01月01日起举办大型招聘活动情况、同类引才项目情况、团队人员情况进行综合评审。</w:t>
            </w:r>
          </w:p>
        </w:tc>
        <w:tc>
          <w:tcPr>
            <w:tcW w:w="2003" w:type="dxa"/>
            <w:vMerge w:val="restart"/>
            <w:tcBorders>
              <w:top w:val="single" w:color="000000" w:sz="4" w:space="0"/>
              <w:left w:val="nil"/>
              <w:bottom w:val="single" w:color="000000" w:sz="4" w:space="0"/>
              <w:right w:val="single" w:color="000000" w:sz="4" w:space="0"/>
            </w:tcBorders>
            <w:noWrap/>
            <w:vAlign w:val="center"/>
          </w:tcPr>
          <w:p w14:paraId="6765FFE2">
            <w:pPr>
              <w:jc w:val="center"/>
              <w:rPr>
                <w:rFonts w:hint="eastAsia" w:ascii="宋体" w:hAnsi="宋体" w:eastAsia="宋体" w:cs="宋体"/>
                <w:i w:val="0"/>
                <w:iCs w:val="0"/>
                <w:color w:val="000000"/>
                <w:sz w:val="24"/>
                <w:szCs w:val="24"/>
                <w:u w:val="none"/>
              </w:rPr>
            </w:pPr>
          </w:p>
        </w:tc>
      </w:tr>
      <w:tr w14:paraId="7AE6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F4A48">
            <w:pPr>
              <w:jc w:val="center"/>
              <w:rPr>
                <w:rFonts w:hint="eastAsia" w:ascii="宋体" w:hAnsi="宋体" w:eastAsia="宋体" w:cs="宋体"/>
                <w:i w:val="0"/>
                <w:iCs w:val="0"/>
                <w:color w:val="000000"/>
                <w:sz w:val="24"/>
                <w:szCs w:val="24"/>
                <w:u w:val="none"/>
              </w:rPr>
            </w:pPr>
          </w:p>
        </w:tc>
        <w:tc>
          <w:tcPr>
            <w:tcW w:w="1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D1C30">
            <w:pPr>
              <w:jc w:val="center"/>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nil"/>
            </w:tcBorders>
            <w:noWrap w:val="0"/>
            <w:vAlign w:val="center"/>
          </w:tcPr>
          <w:p w14:paraId="49B40C41">
            <w:pPr>
              <w:jc w:val="center"/>
              <w:rPr>
                <w:rFonts w:hint="eastAsia" w:ascii="宋体" w:hAnsi="宋体" w:eastAsia="宋体" w:cs="宋体"/>
                <w:i w:val="0"/>
                <w:iCs w:val="0"/>
                <w:color w:val="000000"/>
                <w:sz w:val="24"/>
                <w:szCs w:val="24"/>
                <w:u w:val="none"/>
              </w:rPr>
            </w:pPr>
          </w:p>
        </w:tc>
        <w:tc>
          <w:tcPr>
            <w:tcW w:w="3899" w:type="dxa"/>
            <w:tcBorders>
              <w:top w:val="nil"/>
              <w:left w:val="single" w:color="000000" w:sz="4" w:space="0"/>
              <w:bottom w:val="nil"/>
              <w:right w:val="single" w:color="000000" w:sz="4" w:space="0"/>
            </w:tcBorders>
            <w:noWrap w:val="0"/>
            <w:vAlign w:val="center"/>
          </w:tcPr>
          <w:p w14:paraId="735B7F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（1）单场参会用人单位50家及以上得1分；100家及以上得2分；150家及以上得3分；200家及以上得4分。此项最高得分30分。</w:t>
            </w:r>
          </w:p>
        </w:tc>
        <w:tc>
          <w:tcPr>
            <w:tcW w:w="2003" w:type="dxa"/>
            <w:vMerge w:val="continue"/>
            <w:tcBorders>
              <w:top w:val="single" w:color="000000" w:sz="4" w:space="0"/>
              <w:left w:val="nil"/>
              <w:bottom w:val="single" w:color="000000" w:sz="4" w:space="0"/>
              <w:right w:val="single" w:color="000000" w:sz="4" w:space="0"/>
            </w:tcBorders>
            <w:noWrap/>
            <w:vAlign w:val="center"/>
          </w:tcPr>
          <w:p w14:paraId="51B5BAEF">
            <w:pPr>
              <w:jc w:val="center"/>
              <w:rPr>
                <w:rFonts w:hint="eastAsia" w:ascii="宋体" w:hAnsi="宋体" w:eastAsia="宋体" w:cs="宋体"/>
                <w:i w:val="0"/>
                <w:iCs w:val="0"/>
                <w:color w:val="000000"/>
                <w:sz w:val="24"/>
                <w:szCs w:val="24"/>
                <w:u w:val="none"/>
              </w:rPr>
            </w:pPr>
          </w:p>
        </w:tc>
      </w:tr>
      <w:tr w14:paraId="02E1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26DF3">
            <w:pPr>
              <w:jc w:val="center"/>
              <w:rPr>
                <w:rFonts w:hint="eastAsia" w:ascii="宋体" w:hAnsi="宋体" w:eastAsia="宋体" w:cs="宋体"/>
                <w:i w:val="0"/>
                <w:iCs w:val="0"/>
                <w:color w:val="000000"/>
                <w:sz w:val="24"/>
                <w:szCs w:val="24"/>
                <w:u w:val="none"/>
              </w:rPr>
            </w:pPr>
          </w:p>
        </w:tc>
        <w:tc>
          <w:tcPr>
            <w:tcW w:w="1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E4D36">
            <w:pPr>
              <w:jc w:val="center"/>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nil"/>
            </w:tcBorders>
            <w:noWrap w:val="0"/>
            <w:vAlign w:val="center"/>
          </w:tcPr>
          <w:p w14:paraId="1E98365B">
            <w:pPr>
              <w:jc w:val="center"/>
              <w:rPr>
                <w:rFonts w:hint="eastAsia" w:ascii="宋体" w:hAnsi="宋体" w:eastAsia="宋体" w:cs="宋体"/>
                <w:i w:val="0"/>
                <w:iCs w:val="0"/>
                <w:color w:val="000000"/>
                <w:sz w:val="24"/>
                <w:szCs w:val="24"/>
                <w:u w:val="none"/>
              </w:rPr>
            </w:pPr>
          </w:p>
        </w:tc>
        <w:tc>
          <w:tcPr>
            <w:tcW w:w="3899" w:type="dxa"/>
            <w:tcBorders>
              <w:top w:val="nil"/>
              <w:left w:val="single" w:color="000000" w:sz="4" w:space="0"/>
              <w:bottom w:val="nil"/>
              <w:right w:val="single" w:color="000000" w:sz="4" w:space="0"/>
            </w:tcBorders>
            <w:noWrap w:val="0"/>
            <w:vAlign w:val="center"/>
          </w:tcPr>
          <w:p w14:paraId="5F96B73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（2）根据投标人提供的承接过同类引才项目，每提供一份完整合格的业绩（需提供中标通知书、项目合同、验收合格材料）的得5分。此项最高得分15分。</w:t>
            </w:r>
          </w:p>
        </w:tc>
        <w:tc>
          <w:tcPr>
            <w:tcW w:w="2003" w:type="dxa"/>
            <w:vMerge w:val="continue"/>
            <w:tcBorders>
              <w:top w:val="single" w:color="000000" w:sz="4" w:space="0"/>
              <w:left w:val="nil"/>
              <w:bottom w:val="single" w:color="000000" w:sz="4" w:space="0"/>
              <w:right w:val="single" w:color="000000" w:sz="4" w:space="0"/>
            </w:tcBorders>
            <w:noWrap/>
            <w:vAlign w:val="center"/>
          </w:tcPr>
          <w:p w14:paraId="154F312D">
            <w:pPr>
              <w:jc w:val="center"/>
              <w:rPr>
                <w:rFonts w:hint="eastAsia" w:ascii="宋体" w:hAnsi="宋体" w:eastAsia="宋体" w:cs="宋体"/>
                <w:i w:val="0"/>
                <w:iCs w:val="0"/>
                <w:color w:val="000000"/>
                <w:sz w:val="24"/>
                <w:szCs w:val="24"/>
                <w:u w:val="none"/>
              </w:rPr>
            </w:pPr>
          </w:p>
        </w:tc>
      </w:tr>
      <w:tr w14:paraId="0AD2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91338C">
            <w:pPr>
              <w:jc w:val="center"/>
              <w:rPr>
                <w:rFonts w:hint="eastAsia" w:ascii="宋体" w:hAnsi="宋体" w:eastAsia="宋体" w:cs="宋体"/>
                <w:i w:val="0"/>
                <w:iCs w:val="0"/>
                <w:color w:val="000000"/>
                <w:sz w:val="24"/>
                <w:szCs w:val="24"/>
                <w:u w:val="none"/>
              </w:rPr>
            </w:pPr>
          </w:p>
        </w:tc>
        <w:tc>
          <w:tcPr>
            <w:tcW w:w="1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82B79">
            <w:pPr>
              <w:jc w:val="center"/>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nil"/>
            </w:tcBorders>
            <w:noWrap w:val="0"/>
            <w:vAlign w:val="center"/>
          </w:tcPr>
          <w:p w14:paraId="4223C7B1">
            <w:pPr>
              <w:jc w:val="center"/>
              <w:rPr>
                <w:rFonts w:hint="eastAsia" w:ascii="宋体" w:hAnsi="宋体" w:eastAsia="宋体" w:cs="宋体"/>
                <w:i w:val="0"/>
                <w:iCs w:val="0"/>
                <w:color w:val="000000"/>
                <w:sz w:val="24"/>
                <w:szCs w:val="24"/>
                <w:u w:val="none"/>
              </w:rPr>
            </w:pPr>
          </w:p>
        </w:tc>
        <w:tc>
          <w:tcPr>
            <w:tcW w:w="3899" w:type="dxa"/>
            <w:tcBorders>
              <w:top w:val="nil"/>
              <w:left w:val="single" w:color="000000" w:sz="4" w:space="0"/>
              <w:bottom w:val="single" w:color="000000" w:sz="4" w:space="0"/>
              <w:right w:val="single" w:color="000000" w:sz="4" w:space="0"/>
            </w:tcBorders>
            <w:noWrap w:val="0"/>
            <w:vAlign w:val="center"/>
          </w:tcPr>
          <w:p w14:paraId="672F7194">
            <w:pPr>
              <w:keepNext w:val="0"/>
              <w:keepLines w:val="0"/>
              <w:widowControl/>
              <w:suppressLineNumbers w:val="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（3）根据投标人拟投入本项目的团队人员，每提供1人具有中级及以上人力资源专业经济师职称证书或职业指导师证书的得1分（需提供应标截止日期前六个月中任一个月的社保缴交记录）。此项最高得分5分。</w:t>
            </w:r>
          </w:p>
        </w:tc>
        <w:tc>
          <w:tcPr>
            <w:tcW w:w="2003" w:type="dxa"/>
            <w:vMerge w:val="continue"/>
            <w:tcBorders>
              <w:top w:val="single" w:color="000000" w:sz="4" w:space="0"/>
              <w:left w:val="nil"/>
              <w:bottom w:val="single" w:color="000000" w:sz="4" w:space="0"/>
              <w:right w:val="single" w:color="000000" w:sz="4" w:space="0"/>
            </w:tcBorders>
            <w:noWrap/>
            <w:vAlign w:val="center"/>
          </w:tcPr>
          <w:p w14:paraId="391D519E">
            <w:pPr>
              <w:jc w:val="center"/>
              <w:rPr>
                <w:rFonts w:hint="eastAsia" w:ascii="宋体" w:hAnsi="宋体" w:eastAsia="宋体" w:cs="宋体"/>
                <w:i w:val="0"/>
                <w:iCs w:val="0"/>
                <w:color w:val="000000"/>
                <w:sz w:val="24"/>
                <w:szCs w:val="24"/>
                <w:u w:val="none"/>
              </w:rPr>
            </w:pPr>
          </w:p>
        </w:tc>
      </w:tr>
    </w:tbl>
    <w:p w14:paraId="25819445">
      <w:r>
        <w:rPr>
          <w:rFonts w:hint="eastAsia" w:ascii="Times New Roman" w:hAnsi="Times New Roman" w:eastAsia="宋体" w:cs="Times New Roman"/>
          <w:i/>
          <w:sz w:val="24"/>
          <w:szCs w:val="24"/>
          <w:lang w:val="zh-CN" w:eastAsia="zh-CN" w:bidi="ar-SA"/>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1B1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2026-09-09T01:26:33Z</dcterms:created>
  <dc:creator>11563</dc:creator>
  <cp:lastModifiedBy>小丸子</cp:lastModifiedBy>
  <dcterms:modified xsi:type="dcterms:W3CDTF">2026-09-09T01:26:50Z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eyJoZGlkIjoiMzE5NGRiNGZiMzM2MDQ3ZDUzNDFhMjk1ZjM5N2U4YzAiLCJ1c2VySWQiOiI1NjI0NzUwNjMifQ==</vt:lpwstr>
  </property>
  <property fmtid="{D5CDD505-2E9C-101B-9397-08002B2CF9AE}" pid="4" name="ICV">
    <vt:lpwstr>C930A4886EDA4EF1822E407ABA5600C1_12</vt:lpwstr>
  </property>
</Properties>
</file>