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人力资源社会保障部关于进一步加强</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高技能人才与专业技术人才职业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发展贯通的实施意见</w:t>
      </w:r>
    </w:p>
    <w:p>
      <w:pPr>
        <w:spacing w:line="596" w:lineRule="exact"/>
        <w:jc w:val="center"/>
        <w:textAlignment w:val="top"/>
        <w:rPr>
          <w:rFonts w:hint="eastAsia" w:ascii="楷体_GB2312" w:hAnsi="楷体_GB2312" w:eastAsia="楷体_GB2312" w:cs="楷体_GB2312"/>
          <w:spacing w:val="-6"/>
        </w:rPr>
      </w:pPr>
      <w:r>
        <w:rPr>
          <w:rFonts w:hint="eastAsia" w:ascii="楷体_GB2312" w:hAnsi="楷体_GB2312" w:eastAsia="楷体_GB2312" w:cs="楷体_GB2312"/>
        </w:rPr>
        <w:t>人社部发﹝2020﹞96号</w:t>
      </w:r>
    </w:p>
    <w:p>
      <w:pPr>
        <w:spacing w:line="596" w:lineRule="exact"/>
        <w:textAlignment w:val="top"/>
        <w:rPr>
          <w:rFonts w:hint="eastAsia" w:ascii="仿宋_GB2312"/>
          <w:sz w:val="31"/>
          <w:szCs w:val="31"/>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各省、自治区、直辖市及新疆生产建设兵团人力资源社会保障厅（局），中央和国家机关各部委、各直属机构人事部门，各中央企业人事部门：</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为打通高技能人才与专业技术人才职业发展通道，加强创新型、应用型、技能型人才培养，在总结工程技术领域试点工作基础上，现就进一步加强高技能人才与专业技术人才职业发展贯通提出如下实施意见。</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黑体" w:hAnsi="黑体" w:eastAsia="黑体" w:cs="黑体"/>
          <w:i w:val="0"/>
          <w:caps w:val="0"/>
          <w:color w:val="auto"/>
          <w:spacing w:val="6"/>
          <w:kern w:val="0"/>
          <w:sz w:val="32"/>
          <w:szCs w:val="32"/>
          <w:shd w:val="clear" w:color="auto" w:fill="FFFFFF"/>
          <w:lang w:val="en-US" w:eastAsia="zh-CN" w:bidi="ar"/>
        </w:rPr>
      </w:pPr>
      <w:r>
        <w:rPr>
          <w:rFonts w:hint="eastAsia" w:ascii="黑体" w:hAnsi="黑体" w:eastAsia="黑体" w:cs="黑体"/>
          <w:i w:val="0"/>
          <w:caps w:val="0"/>
          <w:color w:val="auto"/>
          <w:spacing w:val="6"/>
          <w:kern w:val="0"/>
          <w:sz w:val="32"/>
          <w:szCs w:val="32"/>
          <w:shd w:val="clear" w:color="auto" w:fill="FFFFFF"/>
          <w:lang w:val="en-US" w:eastAsia="zh-CN" w:bidi="ar"/>
        </w:rPr>
        <w:t>一、总体要求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（一）指导思想</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以习近平新时代中国特色社会主义思想为指导，全面贯彻党的十九大和十九届二中、三中、四中、五中全会精神，牢固树立新发展理念，破除束缚人才发展的体制机制障碍，大力弘扬劳模精神、劳动精神、工匠精神，探索建立理论与实践相结合、技术与技能相促进的人才评价使用激励机制，激发高技能人才创新活力，为实施制造强国战略和推动高质量发展提供有力人才支撑。</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（二）基本原则</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1.坚持突出重点。适应技术技能人才融合发展趋势，以高技能人才为重点，打破专业技术职称评审与职业技能评价界限，创新技术技能导向的评价机制，拓宽技术技能人才发展通道，促进两类人才融合发展。</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2.坚持问题导向。聚焦人才职业发展中“独木桥”、“天花板”问题，推进职称制度与职业资格、职业技能等级制度有效衔接，支持高技能人才参加职称评审和职业资格考试，鼓励专业技术人才参加职业技能评价，搭建两类人才成长立交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3.坚持科学评价。进一步破除唯论文、唯学历、唯资历、唯奖项倾向，强化技术技能贡献，突出工作业绩，保持两类人才评价标准大体平衡，适当向高技能人才倾斜，让各类人才价值得到充分尊重和体现。</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4.坚持以用为本。立足实际工作岗位需要，充分发挥用人单位主体作用，促进人才评价与培养使用激励等措施相互衔接，着力提高技能人才待遇水平，营造有利于人才成长和发挥作用的制度环境。</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黑体" w:hAnsi="黑体" w:eastAsia="黑体" w:cs="黑体"/>
          <w:i w:val="0"/>
          <w:caps w:val="0"/>
          <w:color w:val="auto"/>
          <w:spacing w:val="6"/>
          <w:kern w:val="0"/>
          <w:sz w:val="32"/>
          <w:szCs w:val="32"/>
          <w:shd w:val="clear" w:color="auto" w:fill="FFFFFF"/>
          <w:lang w:val="en-US" w:eastAsia="zh-CN" w:bidi="ar"/>
        </w:rPr>
      </w:pPr>
      <w:r>
        <w:rPr>
          <w:rFonts w:hint="eastAsia" w:ascii="黑体" w:hAnsi="黑体" w:eastAsia="黑体" w:cs="黑体"/>
          <w:i w:val="0"/>
          <w:caps w:val="0"/>
          <w:color w:val="auto"/>
          <w:spacing w:val="6"/>
          <w:kern w:val="0"/>
          <w:sz w:val="32"/>
          <w:szCs w:val="32"/>
          <w:shd w:val="clear" w:color="auto" w:fill="FFFFFF"/>
          <w:lang w:val="en-US" w:eastAsia="zh-CN" w:bidi="ar"/>
        </w:rPr>
        <w:t>二、主要措施</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（一）扩大贯通领域。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以支持高技能人才参加工程系列职称评审为工作重点，将贯通领域扩大为工程、农业、工艺美术、文物博物、实验技术、艺术、体育、技工院校教师等职称系列。支持高技能人才取得经济、会计、统计、审计、翻译、出版、通信、计算机技术与软件等专业技术人员职业资格。各地区、各有关部门可在职业分类基础上，根据实际情况研究制定新兴职业、新兴领域贯通办法，明确高技能人才参加职称评审的专业对应关系。</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（二）完善高技能人才职称评价标准。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1.淡化学历要求。对两类人才贯通的职称系列，具备高级工以上职业资格或职业技能等级的技能人才，均可参加职称评审，不将学历、论文、外语、计算机等作为高技能人才参加职称评审的限制性条件。按照国家有关规定取得高级工职业资格或职业技能等级后从事技术技能工作满2年，可申报评审相应专业助理级职称；取得技师职业资格或职业技能等级后从事技术技能工作满3年，可申报评审相应专业中级职称；取得高级技师职业资格或职业技能等级后从事技术技能工作满4年，可申报评审相应专业副高级职称。高技能人才参加职称评审应在现工作岗位上近3年年度考核合格。</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2.强化技能贡献。高技能人才参加职称评审突出职业能力和工作业绩，注重评价科技成果转化应用、执行操作规程、解决生产难题、参与技术改造革新、工艺改进、传技带徒等方面的能力和贡献。技能竞赛获奖情况、行业工法、操作法、完成项目、技术报告、经验总结、行业标准等创新性成果均可作为职称评审的重要内容。</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3.建立绿色通道。对为国家经济发展和重大战略实施作出突出贡献，具有绝招、绝技、绝活，并长期坚守在生产服务一线岗位工作的高技能领军人才，采取特殊评价办法，建立职称评审绿色通道。获得中华技能大奖、全国技术能手，担任国家级技能大师工作室带头人，享受省级以上政府特殊津贴的高技能人才，或各省（区、市）人民政府认定的“高精尖缺”高技能人才，可直接申报评审正高级或副高级职称。各地区、各有关单位可结合实际情况制定具体办法。</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（三）创新高技能人才职称评价机制。</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综合采用理论知识考试、技能操作考核、业绩评审、面试答辩、竞赛选拔等多种方式评价高技能人才。支持有条件的地区和单位对高技能人才单独分组、单独评审。支持高技能人才密集、技术实力较强、内部管理规范的规模以上企业自主开展高技能人才职称评审。积极吸纳优秀高技能人才参加相关职称评审委员会、专家库，参与制定评价标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（四）鼓励专业技术人才参加职业技能评价。</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符合职业技能评价条件的专业技术人才，可按有关规定申请参加相应职业（工种）的职业技能评价。专业技术人才取得助理级、中级、副高级职称，累计工作年限达到申报条件的，可分别申请参加与现岗位相对应职业（工种）的高级工、技师、高级技师职业技能评价。取得职业资格或职业技能等级1年后，可按累计工作年限申报相应职业（工种）晋级评价。专业技术人才参加职业技能评价，注重操作技能考核。具有所申报职业相关专业毕业证书的，可免于理论知识考试。具有相应职业（工种）技能等级水平的优秀人才可直接申报该职业（工种）的职业技能等级评价。用人单位可根据国家职业技能标准和行业企业评价规范，结合本单位实际，制定本单位专业技术人才参加职业技能评价的标准条件。</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（五）加强评价制度与用人制度衔接。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高技能人才依据技术技能水平自愿参加职称评审，鼓励取得职称的高技能人才坚守在生产服务一线。探索建立企业内部技能岗位等级与管理、技术岗位序列相互比照，专业技术岗位、经营管理岗位、技能岗位互相衔接机制。各类企业对在聘的高级工、技师、高级技师在学习进修、岗位聘任、职务职级晋升、评优评奖、科研项目申报等方面，比照相应层级专业技术人员享受同等待遇。鼓励用人单位研究制定高技能领军人才职业发展规划，实行高技能领军人才年薪制、股权期权激励，设立高技能领军人才特聘岗位津贴、带徒津贴等，按实际贡献给予高技能人才绩效奖励，切实提高高技能人才待遇水平。</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黑体" w:hAnsi="黑体" w:eastAsia="黑体" w:cs="黑体"/>
          <w:i w:val="0"/>
          <w:caps w:val="0"/>
          <w:color w:val="auto"/>
          <w:spacing w:val="6"/>
          <w:kern w:val="0"/>
          <w:sz w:val="32"/>
          <w:szCs w:val="32"/>
          <w:shd w:val="clear" w:color="auto" w:fill="FFFFFF"/>
          <w:lang w:val="en-US" w:eastAsia="zh-CN" w:bidi="ar"/>
        </w:rPr>
      </w:pPr>
      <w:r>
        <w:rPr>
          <w:rFonts w:hint="eastAsia" w:ascii="黑体" w:hAnsi="黑体" w:eastAsia="黑体" w:cs="黑体"/>
          <w:i w:val="0"/>
          <w:caps w:val="0"/>
          <w:color w:val="auto"/>
          <w:spacing w:val="6"/>
          <w:kern w:val="0"/>
          <w:sz w:val="32"/>
          <w:szCs w:val="32"/>
          <w:shd w:val="clear" w:color="auto" w:fill="FFFFFF"/>
          <w:lang w:val="en-US" w:eastAsia="zh-CN" w:bidi="ar"/>
        </w:rPr>
        <w:t>三、有关要求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（一）加强组织领导。</w:t>
      </w: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建立高技能人才与专业技术人才职业发展通道是提高技能人才待遇和地位的重要举措，是进一步巩固党的执政基础的重要举措。各级人力资源社会保障部门要高度重视，加强领导，聚焦关键问题，形成工作合力，结合实际抓好高技能人才职称评审工作。</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（二）强化监督指导。</w:t>
      </w: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各级人力资源社会保障部门要把两类人才职业发展贯通作为加强高技能人才队伍建设的重要任务来抓，采取切实管用的措施，加大工作力度，指导各地、各有关单位有序开展工作，确保各项政策措施取得实效。</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6"/>
          <w:kern w:val="0"/>
          <w:sz w:val="32"/>
          <w:szCs w:val="32"/>
          <w:shd w:val="clear" w:color="auto" w:fill="FFFFFF"/>
          <w:lang w:val="en-US" w:eastAsia="zh-CN" w:bidi="ar"/>
        </w:rPr>
        <w:t>（三）加强宣传引导。</w:t>
      </w: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各地区、各有关单位要加强宣传引导，做好政策解读，提高用人单位积极性，引导两类人才积极参与。大力宣传两类人才贯通的典型经验，强化引领和示范作用，营造良好氛围。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本意见自印发之日起施行。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0" w:firstLineChars="200"/>
        <w:jc w:val="both"/>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 </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60" w:firstLineChars="200"/>
        <w:jc w:val="right"/>
        <w:textAlignment w:val="top"/>
        <w:outlineLvl w:val="9"/>
        <w:rPr>
          <w:rFonts w:hint="eastAsia" w:ascii="仿宋_GB2312" w:hAnsi="仿宋_GB2312" w:eastAsia="仿宋_GB2312" w:cs="仿宋_GB2312"/>
          <w:i w:val="0"/>
          <w:caps w:val="0"/>
          <w:color w:val="auto"/>
          <w:spacing w:val="6"/>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人力资源社会保障部</w:t>
      </w:r>
      <w:r>
        <w:rPr>
          <w:rFonts w:hint="eastAsia" w:ascii="仿宋_GB2312" w:hAnsi="仿宋_GB2312" w:cs="仿宋_GB2312"/>
          <w:i w:val="0"/>
          <w:caps w:val="0"/>
          <w:color w:val="auto"/>
          <w:spacing w:val="6"/>
          <w:kern w:val="0"/>
          <w:sz w:val="32"/>
          <w:szCs w:val="32"/>
          <w:shd w:val="clear" w:color="auto" w:fill="FFFFFF"/>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60" w:firstLineChars="200"/>
        <w:jc w:val="right"/>
        <w:textAlignment w:val="top"/>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i w:val="0"/>
          <w:caps w:val="0"/>
          <w:color w:val="auto"/>
          <w:spacing w:val="6"/>
          <w:kern w:val="0"/>
          <w:sz w:val="32"/>
          <w:szCs w:val="32"/>
          <w:shd w:val="clear" w:color="auto" w:fill="FFFFFF"/>
          <w:lang w:val="en-US" w:eastAsia="zh-CN" w:bidi="ar"/>
        </w:rPr>
        <w:t>2020年12月28日</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3360"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3360;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Mi5igqw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OSWeO1zR7tfP3e+/uz8PBEO9kVKVzRalhphaLLiNWJLHT2F8&#10;Fk8YLAKMGlw5kRrBPGq+PemsxkwEBmeMsdkHRBeYm50z9n5e4Jun6ggpf1bBkeJ0FHCPVV6+uUl5&#10;//T4pDTz4dpYW3dpPRk6+nE+ndeCUwbBrccehcN+1uLlcTUeiK2C3CIv+8WjvOWrHB04Oqujcx/B&#10;rHucq6pSIXE9lcDhK5X9P7/Xxk8ffvk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Sn+f9cAAAAM&#10;AQAADwAAAAAAAAABACAAAAAiAAAAZHJzL2Rvd25yZXYueG1sUEsBAhQAFAAAAAgAh07iQMyLmKCr&#10;AQAAOAMAAA4AAAAAAAAAAQAgAAAAJgEAAGRycy9lMm9Eb2MueG1sUEsFBgAAAAAGAAYAWQEAAEMF&#10;A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2336"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2021年5月17日翻印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2336;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O0wP&#10;TasBAAA4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2021年5月17日翻印  </w:t>
                      </w:r>
                    </w:p>
                  </w:txbxContent>
                </v:textbox>
                <w10:wrap type="topAndBottom"/>
                <w10:anchorlock/>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2" name="直接连接符 2"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1312;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BR6Su73wEAAKID&#10;AAAOAAAAAAAAAAEAIAAAACYBAABkcnMvZTJvRG9jLnhtbFBLBQYAAAAABgAGAFkBAAB3BQAAAAA=&#10;">
                <v:path arrowok="t"/>
                <v:fill on="f" focussize="0,0"/>
                <v:stroke weight="1pt"/>
                <v:imagedata o:title=""/>
                <o:lock v:ext="edit"/>
                <w10:wrap type="topAndBottom"/>
                <w10:anchorlock/>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4384" behindDoc="0" locked="1" layoutInCell="1" allowOverlap="1">
                <wp:simplePos x="0" y="0"/>
                <wp:positionH relativeFrom="column">
                  <wp:posOffset>2897505</wp:posOffset>
                </wp:positionH>
                <wp:positionV relativeFrom="page">
                  <wp:posOffset>9204325</wp:posOffset>
                </wp:positionV>
                <wp:extent cx="2466975" cy="36004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466975" cy="360045"/>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28.15pt;margin-top:724.75pt;height:28.35pt;width:194.25pt;mso-position-vertical-relative:page;mso-wrap-distance-bottom:0pt;mso-wrap-distance-top:0pt;z-index:251664384;mso-width-relative:page;mso-height-relative:page;" filled="f" stroked="f" coordsize="21600,21600" o:gfxdata="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1z99DbAAAA&#10;DQEAAA8AAAAAAAAAAQAgAAAAIgAAAGRycy9kb3ducmV2LnhtbFBLAQIUABQAAAAIAIdO4kCpE5n5&#10;qAEAAC0DAAAOAAAAAAAAAAEAIAAAACoBAABkcnMvZTJvRG9jLnhtbFBLBQYAAAAABgAGAFkBAABE&#10;BQAAAAA=&#10;">
                <v:path/>
                <v:fill on="f" focussize="0,0"/>
                <v:stroke on="f"/>
                <v:imagedata o:title=""/>
                <o:lock v:ext="edit"/>
                <v:textbox inset="0mm,0mm,0mm,0mm">
                  <w:txbxContent>
                    <w:p/>
                  </w:txbxContent>
                </v:textbox>
                <w10:wrap type="topAndBottom"/>
                <w10:anchorlock/>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8240" behindDoc="0" locked="1" layoutInCell="1" allowOverlap="1">
                <wp:simplePos x="0" y="0"/>
                <wp:positionH relativeFrom="column">
                  <wp:posOffset>201295</wp:posOffset>
                </wp:positionH>
                <wp:positionV relativeFrom="page">
                  <wp:posOffset>9178925</wp:posOffset>
                </wp:positionV>
                <wp:extent cx="3000375" cy="3600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5.85pt;margin-top:722.75pt;height:28.35pt;width:236.25pt;mso-position-vertical-relative:page;mso-wrap-distance-bottom:0pt;mso-wrap-distance-top:0pt;z-index:251658240;mso-width-relative:page;mso-height-relative:page;" filled="f" stroked="f" coordsize="21600,21600" o:gfxdata="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tbLstoAAAAM&#10;AQAADwAAAAAAAAABACAAAAAiAAAAZHJzL2Rvd25yZXYueG1sUEsBAhQAFAAAAAgAh07iQADdEFWo&#10;AQAALQMAAA4AAAAAAAAAAQAgAAAAKQEAAGRycy9lMm9Eb2MueG1sUEsFBgAAAAAGAAYAWQEAAEMF&#10;AAAAAA==&#10;">
                <v:path/>
                <v:fill on="f" focussize="0,0"/>
                <v:stroke on="f"/>
                <v:imagedata o:title=""/>
                <o:lock v:ext="edit"/>
                <v:textbox inset="0mm,0mm,0mm,0mm">
                  <w:txbxContent>
                    <w:p>
                      <w:pPr>
                        <w:rPr>
                          <w:rFonts w:hint="eastAsia"/>
                        </w:rPr>
                      </w:pPr>
                    </w:p>
                  </w:txbxContent>
                </v:textbox>
                <w10:wrap type="topAndBottom"/>
                <w10:anchorlock/>
              </v:shape>
            </w:pict>
          </mc:Fallback>
        </mc:AlternateContent>
      </w:r>
      <w:r>
        <w:rPr>
          <w:rFonts w:hint="eastAsia" w:ascii="仿宋_GB2312" w:hAnsi="仿宋_GB2312" w:cs="仿宋_GB2312"/>
          <w:i w:val="0"/>
          <w:caps w:val="0"/>
          <w:color w:val="auto"/>
          <w:spacing w:val="6"/>
          <w:kern w:val="0"/>
          <w:sz w:val="32"/>
          <w:szCs w:val="32"/>
          <w:shd w:val="clear" w:color="auto" w:fill="FFFFFF"/>
          <w:lang w:val="en-US" w:eastAsia="zh-CN" w:bidi="ar"/>
        </w:rPr>
        <w:t xml:space="preserve">  </w:t>
      </w:r>
    </w:p>
    <w:p/>
    <w:sectPr>
      <w:headerReference r:id="rId3" w:type="default"/>
      <w:footerReference r:id="rId4" w:type="default"/>
      <w:footerReference r:id="rId5" w:type="even"/>
      <w:pgSz w:w="11906" w:h="16838"/>
      <w:pgMar w:top="2098" w:right="1418" w:bottom="1588" w:left="1588"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jc w:val="center"/>
      <w:rPr>
        <w:rStyle w:val="6"/>
        <w:rFonts w:hint="eastAsia" w:ascii="宋体" w:hAnsi="宋体" w:eastAsia="宋体"/>
        <w:sz w:val="28"/>
        <w:szCs w:val="28"/>
      </w:rPr>
    </w:pPr>
    <w:r>
      <w:rPr>
        <w:rStyle w:val="6"/>
        <w:rFonts w:hint="eastAsia" w:ascii="宋体" w:hAnsi="宋体" w:eastAsia="宋体"/>
        <w:sz w:val="28"/>
        <w:szCs w:val="28"/>
      </w:rPr>
      <w:t xml:space="preserve">— </w:t>
    </w: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1</w:t>
    </w:r>
    <w:r>
      <w:rPr>
        <w:rFonts w:hint="eastAsia"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44D33"/>
    <w:rsid w:val="4644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2021-05-19T08:01:00Z</dcterms:created>
  <dc:creator>user</dc:creator>
  <cp:lastModifiedBy>user</cp:lastModifiedBy>
  <dcterms:modified xsi:type="dcterms:W3CDTF">2021-05-19T08:03:12Z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