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9F2F">
      <w:pPr>
        <w:spacing w:line="596" w:lineRule="exact"/>
        <w:textAlignment w:val="top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2DDE5C7C">
      <w:pPr>
        <w:spacing w:after="312" w:afterLines="100"/>
        <w:ind w:firstLine="220" w:firstLineChars="5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专业目录增补建议表</w:t>
      </w:r>
    </w:p>
    <w:tbl>
      <w:tblPr>
        <w:tblStyle w:val="2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718"/>
        <w:gridCol w:w="1208"/>
        <w:gridCol w:w="3379"/>
      </w:tblGrid>
      <w:tr w14:paraId="3B52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88D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填表单位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87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A91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72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3E9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88B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B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41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90A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专业条目内容</w:t>
            </w:r>
          </w:p>
        </w:tc>
      </w:tr>
      <w:tr w14:paraId="7CC2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335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11F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28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23F5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专业大类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767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6F8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B793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培养目标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920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8B6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38B6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培养层次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9424"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□中级        □高级        □预备技师</w:t>
            </w:r>
          </w:p>
        </w:tc>
      </w:tr>
      <w:tr w14:paraId="2EAC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35C2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职业能力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4B52"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6887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30549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对应或相关职业（工种）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9136"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6CEE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5E5D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专业主要教学内容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377C"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</w:tbl>
    <w:p w14:paraId="537914A8">
      <w:pPr>
        <w:spacing w:line="300" w:lineRule="exact"/>
        <w:ind w:firstLine="482" w:firstLineChars="200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填写说明:</w:t>
      </w:r>
    </w:p>
    <w:p w14:paraId="3B60F622">
      <w:pPr>
        <w:spacing w:line="300" w:lineRule="exact"/>
        <w:ind w:left="480" w:leftChars="150" w:firstLine="0" w:firstLineChars="0"/>
        <w:rPr>
          <w:rFonts w:hint="eastAsia" w:eastAsia="仿宋_GB2312"/>
          <w:sz w:val="24"/>
        </w:rPr>
      </w:pPr>
      <w:r>
        <w:rPr>
          <w:rFonts w:eastAsia="仿宋_GB2312"/>
          <w:spacing w:val="-11"/>
          <w:sz w:val="24"/>
        </w:rPr>
        <w:t>1.专业大类可从《</w:t>
      </w:r>
      <w:r>
        <w:rPr>
          <w:rFonts w:hint="eastAsia" w:eastAsia="仿宋_GB2312"/>
          <w:spacing w:val="-11"/>
          <w:sz w:val="24"/>
        </w:rPr>
        <w:t>全国技工院校专业目录（2022年修订）</w:t>
      </w:r>
      <w:r>
        <w:rPr>
          <w:rFonts w:eastAsia="仿宋_GB2312"/>
          <w:spacing w:val="-11"/>
          <w:sz w:val="24"/>
        </w:rPr>
        <w:t>》中15个专业大类中选取</w:t>
      </w:r>
      <w:r>
        <w:rPr>
          <w:rFonts w:hint="eastAsia" w:eastAsia="仿宋_GB2312"/>
          <w:spacing w:val="-11"/>
          <w:sz w:val="24"/>
        </w:rPr>
        <w:t>；</w:t>
      </w:r>
      <w:r>
        <w:rPr>
          <w:rFonts w:hint="eastAsia"/>
          <w:spacing w:val="-11"/>
          <w:sz w:val="24"/>
          <w:lang w:val="en-US" w:eastAsia="zh-CN"/>
        </w:rPr>
        <w:t>2.</w:t>
      </w:r>
      <w:r>
        <w:rPr>
          <w:rFonts w:eastAsia="仿宋_GB2312"/>
          <w:sz w:val="24"/>
        </w:rPr>
        <w:t>培养目标：用一句话概括为“培养从事……的技能人才”</w:t>
      </w:r>
      <w:r>
        <w:rPr>
          <w:rFonts w:hint="eastAsia" w:eastAsia="仿宋_GB2312"/>
          <w:sz w:val="24"/>
        </w:rPr>
        <w:t>；</w:t>
      </w:r>
    </w:p>
    <w:p w14:paraId="3682C02E">
      <w:pPr>
        <w:spacing w:line="3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3.职业能力：应根据《中华人民共和国职业分类大典》和相关国家职业标准中对应职业的职业能力描述全面、准确提炼。不同教学层次的职业能力描述要有梯度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如工作内容或对象不同、相同工作内容的完成要求和质量要求不同</w:t>
      </w:r>
      <w:r>
        <w:rPr>
          <w:rFonts w:hint="eastAsia" w:eastAsia="仿宋_GB2312"/>
          <w:sz w:val="24"/>
        </w:rPr>
        <w:t>；</w:t>
      </w:r>
    </w:p>
    <w:p w14:paraId="559445F7">
      <w:pPr>
        <w:spacing w:line="3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4.对应或相关职业（工种）：应依据《中华人民共和国职业分类大典》，填写相应职业（工种）及对应编码</w:t>
      </w:r>
      <w:r>
        <w:rPr>
          <w:rFonts w:hint="eastAsia" w:eastAsia="仿宋_GB2312"/>
          <w:sz w:val="24"/>
        </w:rPr>
        <w:t>；</w:t>
      </w:r>
    </w:p>
    <w:p w14:paraId="264D70DE">
      <w:pPr>
        <w:ind w:firstLine="480" w:firstLineChars="200"/>
      </w:pPr>
      <w:r>
        <w:rPr>
          <w:rFonts w:eastAsia="仿宋_GB2312"/>
          <w:sz w:val="24"/>
        </w:rPr>
        <w:t>5.主要教学内容：“职业能力”中提到的每一种能力都要有相应的教学内容</w:t>
      </w:r>
      <w:r>
        <w:rPr>
          <w:rFonts w:hint="eastAsia" w:eastAsia="仿宋_GB2312"/>
          <w:sz w:val="24"/>
        </w:rPr>
        <w:t>作</w:t>
      </w:r>
      <w:r>
        <w:rPr>
          <w:rFonts w:eastAsia="仿宋_GB2312"/>
          <w:sz w:val="24"/>
        </w:rPr>
        <w:t>支撑，每一教学内容要在“职业能力”中找到其开设的目的性。不同教学层次要保持递进或模块关系，高层次教学内容除对部分低层次教学内容</w:t>
      </w:r>
      <w:r>
        <w:rPr>
          <w:rFonts w:hint="eastAsia" w:eastAsia="仿宋_GB2312"/>
          <w:sz w:val="24"/>
        </w:rPr>
        <w:t>进行</w:t>
      </w:r>
      <w:r>
        <w:rPr>
          <w:rFonts w:eastAsia="仿宋_GB2312"/>
          <w:sz w:val="24"/>
        </w:rPr>
        <w:t>深化外，还应有特有教学内容。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c3OWNmN2I4YTNmZDAxZTRmZGUzOWNlOTEyMDcifQ=="/>
  </w:docVars>
  <w:rsids>
    <w:rsidRoot w:val="4A9D216D"/>
    <w:rsid w:val="4A9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2024-09-23T03:48:00Z</dcterms:created>
  <dc:creator>彩虹</dc:creator>
  <cp:lastModifiedBy>彩虹</cp:lastModifiedBy>
  <dcterms:modified xsi:type="dcterms:W3CDTF">2024-09-23T03:49:40Z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15E4A88E870C4363872A4A5FECC4ABDA_11</vt:lpwstr>
  </property>
</Properties>
</file>